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A5F" w:rsidRDefault="000A1A5F" w:rsidP="000A1A5F">
      <w:pPr>
        <w:jc w:val="center"/>
        <w:rPr>
          <w:b/>
        </w:rPr>
      </w:pPr>
      <w:r>
        <w:rPr>
          <w:b/>
        </w:rPr>
        <w:t>La collég</w:t>
      </w:r>
      <w:r w:rsidR="00DD0D0C">
        <w:rPr>
          <w:b/>
        </w:rPr>
        <w:t>iale Saint-Georges &amp; Sainte-Ode</w:t>
      </w:r>
    </w:p>
    <w:p w:rsidR="000A1A5F" w:rsidRDefault="00DD0D0C" w:rsidP="000A1A5F">
      <w:pPr>
        <w:jc w:val="center"/>
        <w:rPr>
          <w:b/>
        </w:rPr>
      </w:pPr>
      <w:r>
        <w:rPr>
          <w:b/>
        </w:rPr>
        <w:t xml:space="preserve">Le sarcophage de </w:t>
      </w:r>
      <w:proofErr w:type="spellStart"/>
      <w:r>
        <w:rPr>
          <w:b/>
        </w:rPr>
        <w:t>Chrodoara</w:t>
      </w:r>
      <w:proofErr w:type="spellEnd"/>
    </w:p>
    <w:p w:rsidR="000A1A5F" w:rsidRDefault="000A1A5F" w:rsidP="000A1A5F">
      <w:pPr>
        <w:jc w:val="center"/>
        <w:rPr>
          <w:b/>
        </w:rPr>
      </w:pPr>
      <w:r>
        <w:rPr>
          <w:b/>
        </w:rPr>
        <w:t>La châsse de Sainte-Ode et Saint-Georges</w:t>
      </w:r>
    </w:p>
    <w:p w:rsidR="000A1A5F" w:rsidRDefault="00DD0D0C" w:rsidP="00DD0D0C">
      <w:pPr>
        <w:rPr>
          <w:b/>
        </w:rPr>
      </w:pPr>
      <w:r>
        <w:rPr>
          <w:b/>
        </w:rPr>
        <w:t xml:space="preserve">                                               </w:t>
      </w:r>
      <w:r w:rsidR="000A1A5F">
        <w:rPr>
          <w:b/>
        </w:rPr>
        <w:t>Le musée d’archéologie et d’art religieux d’Amay</w:t>
      </w:r>
    </w:p>
    <w:p w:rsidR="000A1A5F" w:rsidRPr="000A1A5F" w:rsidRDefault="00DD0D0C" w:rsidP="00DD0D0C">
      <w:pPr>
        <w:jc w:val="both"/>
        <w:rPr>
          <w:b/>
        </w:rPr>
      </w:pPr>
      <w:r>
        <w:rPr>
          <w:b/>
        </w:rPr>
        <w:br/>
      </w:r>
      <w:r>
        <w:rPr>
          <w:b/>
        </w:rPr>
        <w:br/>
      </w:r>
      <w:r w:rsidR="000A1A5F" w:rsidRPr="000A1A5F">
        <w:rPr>
          <w:b/>
        </w:rPr>
        <w:t>Un patrimoine millénaire</w:t>
      </w:r>
    </w:p>
    <w:p w:rsidR="000A1A5F" w:rsidRDefault="00241583" w:rsidP="000A1A5F">
      <w:pPr>
        <w:jc w:val="both"/>
      </w:pPr>
      <w:r>
        <w:t>La c</w:t>
      </w:r>
      <w:bookmarkStart w:id="0" w:name="_GoBack"/>
      <w:bookmarkEnd w:id="0"/>
      <w:r w:rsidR="000A1A5F">
        <w:t xml:space="preserve">ollégiale d’Amay est le fruit d’une longue évolution remontant à l’époque mérovingienne. C’est au moins depuis 945 que l’église est desservie par un chapitre de 9 chanoines, prenant ainsi le titre de collégiale. Le bâtiment actuel remonte à une période entre </w:t>
      </w:r>
      <w:r w:rsidR="000A1A5F" w:rsidRPr="007F4E47">
        <w:t xml:space="preserve">le </w:t>
      </w:r>
      <w:r w:rsidR="000A1A5F">
        <w:t>11</w:t>
      </w:r>
      <w:r w:rsidR="000A1A5F" w:rsidRPr="009660FD">
        <w:rPr>
          <w:vertAlign w:val="superscript"/>
        </w:rPr>
        <w:t>e</w:t>
      </w:r>
      <w:r w:rsidR="000A1A5F">
        <w:t xml:space="preserve"> </w:t>
      </w:r>
      <w:r w:rsidR="000A1A5F" w:rsidRPr="007F4E47">
        <w:t xml:space="preserve">et le milieu du </w:t>
      </w:r>
      <w:r w:rsidR="000A1A5F">
        <w:t>12</w:t>
      </w:r>
      <w:r w:rsidR="000A1A5F" w:rsidRPr="009660FD">
        <w:rPr>
          <w:vertAlign w:val="superscript"/>
        </w:rPr>
        <w:t>e</w:t>
      </w:r>
      <w:r w:rsidR="000A1A5F">
        <w:t xml:space="preserve"> s.</w:t>
      </w:r>
      <w:r w:rsidR="000A1A5F" w:rsidRPr="007F4E47">
        <w:t xml:space="preserve"> </w:t>
      </w:r>
      <w:r w:rsidR="000A1A5F">
        <w:t xml:space="preserve">Les maçonneries romanes sont encore visibles sur son </w:t>
      </w:r>
      <w:r w:rsidR="000A1A5F" w:rsidRPr="00AB5716">
        <w:rPr>
          <w:i/>
        </w:rPr>
        <w:t>West bau</w:t>
      </w:r>
      <w:r w:rsidR="000A1A5F">
        <w:t xml:space="preserve"> (ou massif occidental) et ses nefs ainsi qu’au travers des ouvertures cintrées du vaisseau central (bien qu’agrandies au 18</w:t>
      </w:r>
      <w:r w:rsidR="000A1A5F" w:rsidRPr="009660FD">
        <w:rPr>
          <w:vertAlign w:val="superscript"/>
        </w:rPr>
        <w:t>e</w:t>
      </w:r>
      <w:r w:rsidR="000A1A5F">
        <w:t xml:space="preserve"> s.) et de la frise d’arcatures aveugles sous la corniche. </w:t>
      </w:r>
    </w:p>
    <w:p w:rsidR="00DE06EC" w:rsidRDefault="000A1A5F" w:rsidP="000A1A5F">
      <w:r>
        <w:t>Aux 16</w:t>
      </w:r>
      <w:r w:rsidRPr="00003146">
        <w:rPr>
          <w:vertAlign w:val="superscript"/>
        </w:rPr>
        <w:t>e</w:t>
      </w:r>
      <w:r>
        <w:t>,  17</w:t>
      </w:r>
      <w:r w:rsidRPr="009529B9">
        <w:rPr>
          <w:vertAlign w:val="superscript"/>
        </w:rPr>
        <w:t>e</w:t>
      </w:r>
      <w:r>
        <w:t xml:space="preserve"> et 18</w:t>
      </w:r>
      <w:r w:rsidRPr="009529B9">
        <w:rPr>
          <w:vertAlign w:val="superscript"/>
        </w:rPr>
        <w:t>e</w:t>
      </w:r>
      <w:r>
        <w:t xml:space="preserve"> </w:t>
      </w:r>
      <w:proofErr w:type="gramStart"/>
      <w:r>
        <w:t>s.,</w:t>
      </w:r>
      <w:proofErr w:type="gramEnd"/>
      <w:r>
        <w:t xml:space="preserve"> la collégiale subit diverses modifications qui modifient son aspect. Le chœur est reconstruit, puis son transept sur l’emprise de construction de l’église romane. Au 18</w:t>
      </w:r>
      <w:r w:rsidRPr="00307C17">
        <w:rPr>
          <w:vertAlign w:val="superscript"/>
        </w:rPr>
        <w:t>e</w:t>
      </w:r>
      <w:r>
        <w:t xml:space="preserve"> </w:t>
      </w:r>
      <w:proofErr w:type="gramStart"/>
      <w:r>
        <w:t>s.,</w:t>
      </w:r>
      <w:proofErr w:type="gramEnd"/>
      <w:r>
        <w:t xml:space="preserve"> le chœur est agrandi (1725), les fenêtres romanes sont aussi agrandies et les basses nefs rebâties (1772). Les deux porches d’entrée (1771 et 72), la salle du chapitre (1725), les deux chapelles latérales (1774) et la grande sacristie sont également aménagés.</w:t>
      </w:r>
    </w:p>
    <w:p w:rsidR="000A1A5F" w:rsidRPr="007F4E47" w:rsidRDefault="000A1A5F" w:rsidP="00DD0D0C">
      <w:pPr>
        <w:jc w:val="both"/>
        <w:rPr>
          <w:b/>
        </w:rPr>
      </w:pPr>
      <w:r w:rsidRPr="007F4E47">
        <w:rPr>
          <w:b/>
        </w:rPr>
        <w:t>Le West bau (ou massif occidental)</w:t>
      </w:r>
    </w:p>
    <w:p w:rsidR="000A1A5F" w:rsidRDefault="00DD0D0C" w:rsidP="00DD0D0C">
      <w:pPr>
        <w:ind w:hanging="1416"/>
        <w:jc w:val="both"/>
      </w:pPr>
      <w:r>
        <w:t xml:space="preserve">                            </w:t>
      </w:r>
      <w:r w:rsidR="000A1A5F">
        <w:t>Le massif occidental avec sa</w:t>
      </w:r>
      <w:r w:rsidR="000A1A5F" w:rsidRPr="00563A80">
        <w:t xml:space="preserve"> silhouette</w:t>
      </w:r>
      <w:r w:rsidR="000A1A5F">
        <w:t xml:space="preserve"> à</w:t>
      </w:r>
      <w:r w:rsidR="000A1A5F" w:rsidRPr="00563A80">
        <w:t xml:space="preserve"> trois tours </w:t>
      </w:r>
      <w:r w:rsidR="000A1A5F">
        <w:t>est particulier. A l’époque romane, ce massif avait une physionomie bien différente. Les deux tours latérales encadraient alors un massif central en saillie et plus bas, couvert d’une toiture à deux versants. C’est la configuration classique du style roman</w:t>
      </w:r>
      <w:r w:rsidR="000A1A5F" w:rsidRPr="00F43131">
        <w:t xml:space="preserve"> </w:t>
      </w:r>
      <w:r w:rsidR="000A1A5F">
        <w:t xml:space="preserve">ottonien, comme à la collégiale Saint-Barthélemy à Liège. </w:t>
      </w:r>
    </w:p>
    <w:p w:rsidR="000A1A5F" w:rsidRPr="002D194F" w:rsidRDefault="000A1A5F" w:rsidP="00DD0D0C">
      <w:pPr>
        <w:jc w:val="both"/>
      </w:pPr>
      <w:r>
        <w:t>Progressivement, le massif central est transformé : en 1525, il s’aligne sur les tours, puis des surélévations ont lieu en 1537. La partie supérieure de la tour centrale est exhaussée ou remaniée en 1674 pour abriter la chambre des cloches. Enfin, trois flèches coiffent les tours au 18</w:t>
      </w:r>
      <w:r w:rsidRPr="00001907">
        <w:rPr>
          <w:vertAlign w:val="superscript"/>
        </w:rPr>
        <w:t>e</w:t>
      </w:r>
      <w:r>
        <w:t xml:space="preserve"> s. finalisant ainsi sa physionomie actuelle. </w:t>
      </w:r>
      <w:r w:rsidRPr="0006399D">
        <w:t xml:space="preserve">L’instabilité du sous-sol a nécessité un renforcement du </w:t>
      </w:r>
      <w:r>
        <w:t>West bau</w:t>
      </w:r>
      <w:r w:rsidRPr="0006399D">
        <w:t xml:space="preserve"> </w:t>
      </w:r>
      <w:r>
        <w:t>en 1830</w:t>
      </w:r>
      <w:r w:rsidRPr="002D194F">
        <w:t xml:space="preserve"> </w:t>
      </w:r>
      <w:r>
        <w:t>(</w:t>
      </w:r>
      <w:r w:rsidRPr="002D194F">
        <w:t>contreforts</w:t>
      </w:r>
      <w:r>
        <w:t>)</w:t>
      </w:r>
      <w:r w:rsidRPr="002D194F">
        <w:t xml:space="preserve"> et </w:t>
      </w:r>
      <w:r>
        <w:t xml:space="preserve">la stabilisation de </w:t>
      </w:r>
      <w:r w:rsidRPr="002D194F">
        <w:t>ses fondations en 1998</w:t>
      </w:r>
      <w:r>
        <w:t xml:space="preserve"> (micropieux)</w:t>
      </w:r>
      <w:r w:rsidRPr="002D194F">
        <w:t>.</w:t>
      </w:r>
    </w:p>
    <w:p w:rsidR="000A1A5F" w:rsidRDefault="00241583" w:rsidP="00DD0D0C">
      <w:pPr>
        <w:jc w:val="both"/>
        <w:rPr>
          <w:rFonts w:ascii="Calibri" w:eastAsia="Times New Roman" w:hAnsi="Calibri" w:cs="Times New Roman"/>
          <w:b/>
          <w:lang w:val="fr-FR" w:eastAsia="zh-CN"/>
        </w:rPr>
      </w:pPr>
      <w:r>
        <w:rPr>
          <w:rFonts w:ascii="Calibri" w:eastAsia="Times New Roman" w:hAnsi="Calibri" w:cs="Times New Roman"/>
          <w:b/>
          <w:lang w:val="fr-FR" w:eastAsia="zh-CN"/>
        </w:rPr>
        <w:t>Que voir à l’intérieur de la c</w:t>
      </w:r>
      <w:r w:rsidR="000A1A5F">
        <w:rPr>
          <w:rFonts w:ascii="Calibri" w:eastAsia="Times New Roman" w:hAnsi="Calibri" w:cs="Times New Roman"/>
          <w:b/>
          <w:lang w:val="fr-FR" w:eastAsia="zh-CN"/>
        </w:rPr>
        <w:t>ollégiale ?</w:t>
      </w:r>
    </w:p>
    <w:p w:rsidR="000A1A5F" w:rsidRDefault="000A1A5F" w:rsidP="00DD0D0C">
      <w:pPr>
        <w:jc w:val="both"/>
      </w:pPr>
      <w:r>
        <w:t xml:space="preserve">C’est vers 1641 que d’élégantes </w:t>
      </w:r>
      <w:r w:rsidRPr="009240C8">
        <w:rPr>
          <w:b/>
        </w:rPr>
        <w:t>colonnes</w:t>
      </w:r>
      <w:r>
        <w:t xml:space="preserve"> de style toscan remplacent les piliers romans dans la nef. L’intérieur du </w:t>
      </w:r>
      <w:r w:rsidRPr="00586785">
        <w:rPr>
          <w:i/>
        </w:rPr>
        <w:t>West bau</w:t>
      </w:r>
      <w:r>
        <w:t xml:space="preserve"> est aussi subdivisé en trois parties. Plus tard, le </w:t>
      </w:r>
      <w:r w:rsidRPr="009240C8">
        <w:rPr>
          <w:b/>
        </w:rPr>
        <w:t>jubé</w:t>
      </w:r>
      <w:r>
        <w:t xml:space="preserve"> est déplacé du transept pour fermer l’espace central de la tour. Ce jubé en marbre noir (1685) est décoré de deux médaillons en stuc des frères Moretti (18</w:t>
      </w:r>
      <w:r w:rsidRPr="009F791C">
        <w:rPr>
          <w:vertAlign w:val="superscript"/>
        </w:rPr>
        <w:t>e</w:t>
      </w:r>
      <w:r>
        <w:t xml:space="preserve"> s.). Ces derniers représentent </w:t>
      </w:r>
      <w:r w:rsidR="00B45121">
        <w:t xml:space="preserve">sainte </w:t>
      </w:r>
      <w:r w:rsidRPr="000C6A00">
        <w:t>Cécile</w:t>
      </w:r>
      <w:r>
        <w:t xml:space="preserve"> jouant de l’orgue, patronne des musiciens, et David jouant de la harpe, rappelant ainsi l’orgue. Levez les yeux et vous apercevrez des voutains décorés de rinceaux avec un millésime « 1527 » ou « 1547 ».</w:t>
      </w:r>
    </w:p>
    <w:p w:rsidR="000A1A5F" w:rsidRDefault="000A1A5F" w:rsidP="00DD0D0C">
      <w:pPr>
        <w:jc w:val="both"/>
      </w:pPr>
      <w:r>
        <w:t xml:space="preserve">La </w:t>
      </w:r>
      <w:r w:rsidRPr="009240C8">
        <w:rPr>
          <w:b/>
        </w:rPr>
        <w:t>décoration stuquée</w:t>
      </w:r>
      <w:r>
        <w:t xml:space="preserve"> du sanctuaire est réalisée au 18</w:t>
      </w:r>
      <w:r w:rsidRPr="00217A8C">
        <w:rPr>
          <w:vertAlign w:val="superscript"/>
        </w:rPr>
        <w:t>e</w:t>
      </w:r>
      <w:r>
        <w:t xml:space="preserve"> s. comme en témoignent les millésimes dans la coupole du chœur (1725) et dans les  murs des bras du transept (1772 et 1774). La voûte de la nef </w:t>
      </w:r>
      <w:r>
        <w:lastRenderedPageBreak/>
        <w:t>centrale</w:t>
      </w:r>
      <w:r w:rsidRPr="00B43776">
        <w:t xml:space="preserve"> </w:t>
      </w:r>
      <w:r>
        <w:t>est étoilée rappelant la voûte céleste tandis que les bras du transept et le chœur sont ornés d’un Delta mystique ou d’un ostensoir soleil dans une nuée d’angelots et de rayons de gloire.</w:t>
      </w:r>
    </w:p>
    <w:p w:rsidR="000A1A5F" w:rsidRDefault="000A1A5F" w:rsidP="00DD0D0C">
      <w:r>
        <w:t xml:space="preserve">L’édifice </w:t>
      </w:r>
      <w:r w:rsidRPr="0006399D">
        <w:t>abrite deux « </w:t>
      </w:r>
      <w:r w:rsidRPr="009240C8">
        <w:rPr>
          <w:b/>
        </w:rPr>
        <w:t>trésors</w:t>
      </w:r>
      <w:r w:rsidRPr="0006399D">
        <w:t xml:space="preserve"> » </w:t>
      </w:r>
      <w:r>
        <w:t>de la Fédération Wallonie-Bruxelles</w:t>
      </w:r>
      <w:r w:rsidRPr="0006399D">
        <w:t>, le sarcophag</w:t>
      </w:r>
      <w:r>
        <w:t xml:space="preserve">e de </w:t>
      </w:r>
      <w:proofErr w:type="spellStart"/>
      <w:r>
        <w:t>Chrodoara</w:t>
      </w:r>
      <w:proofErr w:type="spellEnd"/>
      <w:r>
        <w:t xml:space="preserve"> et la châsse de sainte </w:t>
      </w:r>
      <w:r w:rsidRPr="0006399D">
        <w:t>Ode</w:t>
      </w:r>
      <w:r>
        <w:t xml:space="preserve">. La collégiale présente également </w:t>
      </w:r>
      <w:r w:rsidRPr="0006399D">
        <w:t>de</w:t>
      </w:r>
      <w:r>
        <w:t>s</w:t>
      </w:r>
      <w:r w:rsidRPr="0006399D">
        <w:t xml:space="preserve"> </w:t>
      </w:r>
      <w:r w:rsidRPr="00B567FD">
        <w:rPr>
          <w:b/>
        </w:rPr>
        <w:t>statues, peintures, meubles, objets liturgique</w:t>
      </w:r>
      <w:r>
        <w:rPr>
          <w:b/>
        </w:rPr>
        <w:t>s</w:t>
      </w:r>
      <w:r w:rsidRPr="00B567FD">
        <w:rPr>
          <w:b/>
        </w:rPr>
        <w:t xml:space="preserve"> </w:t>
      </w:r>
      <w:r w:rsidRPr="00B567FD">
        <w:t xml:space="preserve">qui méritent </w:t>
      </w:r>
      <w:r>
        <w:t xml:space="preserve">notre grande </w:t>
      </w:r>
      <w:r w:rsidRPr="00B567FD">
        <w:t xml:space="preserve">attention. </w:t>
      </w:r>
      <w:r w:rsidR="00DD0D0C">
        <w:br/>
      </w:r>
      <w:r w:rsidR="00DD0D0C">
        <w:br/>
      </w:r>
      <w:r w:rsidR="00DD0D0C" w:rsidRPr="00B258E2">
        <w:rPr>
          <w:rFonts w:ascii="Calibri" w:eastAsia="Times New Roman" w:hAnsi="Calibri" w:cs="Times New Roman"/>
          <w:lang w:val="fr-FR" w:eastAsia="zh-CN"/>
        </w:rPr>
        <w:t xml:space="preserve">Le </w:t>
      </w:r>
      <w:r w:rsidR="00DD0D0C">
        <w:rPr>
          <w:rFonts w:ascii="Calibri" w:eastAsia="Times New Roman" w:hAnsi="Calibri" w:cs="Times New Roman"/>
          <w:b/>
          <w:lang w:val="fr-FR" w:eastAsia="zh-CN"/>
        </w:rPr>
        <w:t>M</w:t>
      </w:r>
      <w:r w:rsidR="00DD0D0C" w:rsidRPr="00B258E2">
        <w:rPr>
          <w:rFonts w:ascii="Calibri" w:eastAsia="Times New Roman" w:hAnsi="Calibri" w:cs="Times New Roman"/>
          <w:b/>
          <w:lang w:val="fr-FR" w:eastAsia="zh-CN"/>
        </w:rPr>
        <w:t>usée d’Archéologie et d’Art religieux</w:t>
      </w:r>
      <w:r w:rsidR="00DD0D0C">
        <w:rPr>
          <w:rFonts w:ascii="Calibri" w:eastAsia="Times New Roman" w:hAnsi="Calibri" w:cs="Times New Roman"/>
          <w:b/>
          <w:lang w:val="fr-FR" w:eastAsia="zh-CN"/>
        </w:rPr>
        <w:t> </w:t>
      </w:r>
    </w:p>
    <w:p w:rsidR="000A1A5F" w:rsidRDefault="000A1A5F" w:rsidP="000A1A5F">
      <w:pPr>
        <w:jc w:val="both"/>
        <w:rPr>
          <w:rFonts w:ascii="Calibri" w:eastAsia="Times New Roman" w:hAnsi="Calibri" w:cs="Times New Roman"/>
          <w:lang w:val="fr-FR" w:eastAsia="zh-CN"/>
        </w:rPr>
      </w:pPr>
      <w:r w:rsidRPr="00B258E2">
        <w:rPr>
          <w:rFonts w:ascii="Calibri" w:eastAsia="Times New Roman" w:hAnsi="Calibri" w:cs="Times New Roman"/>
          <w:lang w:val="fr-FR" w:eastAsia="zh-CN"/>
        </w:rPr>
        <w:t xml:space="preserve">Le </w:t>
      </w:r>
      <w:r w:rsidR="00B45121">
        <w:rPr>
          <w:rFonts w:ascii="Calibri" w:eastAsia="Times New Roman" w:hAnsi="Calibri" w:cs="Times New Roman"/>
          <w:b/>
          <w:lang w:val="fr-FR" w:eastAsia="zh-CN"/>
        </w:rPr>
        <w:t>M</w:t>
      </w:r>
      <w:r w:rsidRPr="00B258E2">
        <w:rPr>
          <w:rFonts w:ascii="Calibri" w:eastAsia="Times New Roman" w:hAnsi="Calibri" w:cs="Times New Roman"/>
          <w:b/>
          <w:lang w:val="fr-FR" w:eastAsia="zh-CN"/>
        </w:rPr>
        <w:t>usée d’Archéologie et d’Art religieux</w:t>
      </w:r>
      <w:r w:rsidRPr="00B258E2">
        <w:rPr>
          <w:rFonts w:ascii="Calibri" w:eastAsia="Times New Roman" w:hAnsi="Calibri" w:cs="Times New Roman"/>
          <w:lang w:val="fr-FR" w:eastAsia="zh-CN"/>
        </w:rPr>
        <w:t xml:space="preserve"> se situe dans le </w:t>
      </w:r>
      <w:r w:rsidRPr="000A1A5F">
        <w:rPr>
          <w:rFonts w:ascii="Calibri" w:eastAsia="Times New Roman" w:hAnsi="Calibri" w:cs="Times New Roman"/>
          <w:b/>
          <w:lang w:val="fr-FR" w:eastAsia="zh-CN"/>
        </w:rPr>
        <w:t>cloître</w:t>
      </w:r>
      <w:r w:rsidRPr="00B258E2">
        <w:rPr>
          <w:rFonts w:ascii="Calibri" w:eastAsia="Times New Roman" w:hAnsi="Calibri" w:cs="Times New Roman"/>
          <w:lang w:val="fr-FR" w:eastAsia="zh-CN"/>
        </w:rPr>
        <w:t xml:space="preserve"> attenant à la </w:t>
      </w:r>
      <w:r w:rsidRPr="000A1A5F">
        <w:rPr>
          <w:rFonts w:ascii="Calibri" w:eastAsia="Times New Roman" w:hAnsi="Calibri" w:cs="Times New Roman"/>
          <w:lang w:val="fr-FR" w:eastAsia="zh-CN"/>
        </w:rPr>
        <w:t>collégiale Saint-Georges et Sainte-Ode</w:t>
      </w:r>
      <w:r w:rsidRPr="00B258E2">
        <w:rPr>
          <w:rFonts w:ascii="Calibri" w:eastAsia="Times New Roman" w:hAnsi="Calibri" w:cs="Times New Roman"/>
          <w:lang w:val="fr-FR" w:eastAsia="zh-CN"/>
        </w:rPr>
        <w:t>.</w:t>
      </w:r>
      <w:r w:rsidRPr="000A1A5F">
        <w:rPr>
          <w:rFonts w:ascii="Calibri" w:eastAsia="Times New Roman" w:hAnsi="Calibri" w:cs="Times New Roman"/>
          <w:lang w:val="fr-FR" w:eastAsia="zh-CN"/>
        </w:rPr>
        <w:t xml:space="preserve"> </w:t>
      </w:r>
      <w:r>
        <w:rPr>
          <w:rFonts w:ascii="Calibri" w:eastAsia="Times New Roman" w:hAnsi="Calibri" w:cs="Times New Roman"/>
          <w:lang w:val="fr-FR" w:eastAsia="zh-CN"/>
        </w:rPr>
        <w:t xml:space="preserve">La plupart des pièces exposées proviennent </w:t>
      </w:r>
      <w:r w:rsidRPr="00F979D2">
        <w:rPr>
          <w:rFonts w:ascii="Calibri" w:eastAsia="Times New Roman" w:hAnsi="Calibri" w:cs="Times New Roman"/>
          <w:lang w:val="fr-FR" w:eastAsia="zh-CN"/>
        </w:rPr>
        <w:t xml:space="preserve">des fouilles entreprises </w:t>
      </w:r>
      <w:r>
        <w:rPr>
          <w:rFonts w:ascii="Calibri" w:eastAsia="Times New Roman" w:hAnsi="Calibri" w:cs="Times New Roman"/>
          <w:lang w:val="fr-FR" w:eastAsia="zh-CN"/>
        </w:rPr>
        <w:t xml:space="preserve">sur le </w:t>
      </w:r>
      <w:r w:rsidRPr="00C26193">
        <w:rPr>
          <w:rFonts w:ascii="Calibri" w:eastAsia="Times New Roman" w:hAnsi="Calibri" w:cs="Times New Roman"/>
          <w:b/>
          <w:lang w:val="fr-FR" w:eastAsia="zh-CN"/>
        </w:rPr>
        <w:t xml:space="preserve">sol </w:t>
      </w:r>
      <w:proofErr w:type="spellStart"/>
      <w:r w:rsidRPr="00C26193">
        <w:rPr>
          <w:rFonts w:ascii="Calibri" w:eastAsia="Times New Roman" w:hAnsi="Calibri" w:cs="Times New Roman"/>
          <w:b/>
          <w:lang w:val="fr-FR" w:eastAsia="zh-CN"/>
        </w:rPr>
        <w:t>amaytois</w:t>
      </w:r>
      <w:proofErr w:type="spellEnd"/>
      <w:r>
        <w:rPr>
          <w:rFonts w:ascii="Calibri" w:eastAsia="Times New Roman" w:hAnsi="Calibri" w:cs="Times New Roman"/>
          <w:lang w:val="fr-FR" w:eastAsia="zh-CN"/>
        </w:rPr>
        <w:t> </w:t>
      </w:r>
      <w:r w:rsidR="00DD0D0C">
        <w:rPr>
          <w:rFonts w:ascii="Calibri" w:eastAsia="Times New Roman" w:hAnsi="Calibri" w:cs="Times New Roman"/>
          <w:lang w:val="fr-FR" w:eastAsia="zh-CN"/>
        </w:rPr>
        <w:t xml:space="preserve"> par le </w:t>
      </w:r>
      <w:r w:rsidRPr="00C26193">
        <w:rPr>
          <w:rFonts w:ascii="Calibri" w:eastAsia="Times New Roman" w:hAnsi="Calibri" w:cs="Times New Roman"/>
          <w:b/>
          <w:lang w:val="fr-FR" w:eastAsia="zh-CN"/>
        </w:rPr>
        <w:t>Cercle archéologique Hesbaye-Condroz</w:t>
      </w:r>
      <w:r w:rsidRPr="00F979D2">
        <w:rPr>
          <w:rFonts w:ascii="Calibri" w:eastAsia="Times New Roman" w:hAnsi="Calibri" w:cs="Times New Roman"/>
          <w:lang w:val="fr-FR" w:eastAsia="zh-CN"/>
        </w:rPr>
        <w:t xml:space="preserve"> </w:t>
      </w:r>
      <w:r w:rsidR="00241583">
        <w:rPr>
          <w:rFonts w:ascii="Calibri" w:eastAsia="Times New Roman" w:hAnsi="Calibri" w:cs="Times New Roman"/>
          <w:lang w:val="fr-FR" w:eastAsia="zh-CN"/>
        </w:rPr>
        <w:t>comme dans la c</w:t>
      </w:r>
      <w:r>
        <w:rPr>
          <w:rFonts w:ascii="Calibri" w:eastAsia="Times New Roman" w:hAnsi="Calibri" w:cs="Times New Roman"/>
          <w:lang w:val="fr-FR" w:eastAsia="zh-CN"/>
        </w:rPr>
        <w:t xml:space="preserve">ollégiale, la rue </w:t>
      </w:r>
      <w:proofErr w:type="spellStart"/>
      <w:r>
        <w:rPr>
          <w:rFonts w:ascii="Calibri" w:eastAsia="Times New Roman" w:hAnsi="Calibri" w:cs="Times New Roman"/>
          <w:lang w:val="fr-FR" w:eastAsia="zh-CN"/>
        </w:rPr>
        <w:t>Vigneux</w:t>
      </w:r>
      <w:proofErr w:type="spellEnd"/>
      <w:r>
        <w:rPr>
          <w:rFonts w:ascii="Calibri" w:eastAsia="Times New Roman" w:hAnsi="Calibri" w:cs="Times New Roman"/>
          <w:lang w:val="fr-FR" w:eastAsia="zh-CN"/>
        </w:rPr>
        <w:t xml:space="preserve"> (chapelle à </w:t>
      </w:r>
      <w:proofErr w:type="spellStart"/>
      <w:r>
        <w:rPr>
          <w:rFonts w:ascii="Calibri" w:eastAsia="Times New Roman" w:hAnsi="Calibri" w:cs="Times New Roman"/>
          <w:lang w:val="fr-FR" w:eastAsia="zh-CN"/>
        </w:rPr>
        <w:t>Rémont</w:t>
      </w:r>
      <w:proofErr w:type="spellEnd"/>
      <w:r>
        <w:rPr>
          <w:rFonts w:ascii="Calibri" w:eastAsia="Times New Roman" w:hAnsi="Calibri" w:cs="Times New Roman"/>
          <w:lang w:val="fr-FR" w:eastAsia="zh-CN"/>
        </w:rPr>
        <w:t xml:space="preserve">), les bords de Meuse des sites de </w:t>
      </w:r>
      <w:proofErr w:type="spellStart"/>
      <w:r w:rsidRPr="00F979D2">
        <w:rPr>
          <w:rFonts w:ascii="Calibri" w:eastAsia="Times New Roman" w:hAnsi="Calibri" w:cs="Times New Roman"/>
          <w:lang w:val="fr-FR" w:eastAsia="zh-CN"/>
        </w:rPr>
        <w:t>Rorive</w:t>
      </w:r>
      <w:proofErr w:type="spellEnd"/>
      <w:r>
        <w:rPr>
          <w:rFonts w:ascii="Calibri" w:eastAsia="Times New Roman" w:hAnsi="Calibri" w:cs="Times New Roman"/>
          <w:lang w:val="fr-FR" w:eastAsia="zh-CN"/>
        </w:rPr>
        <w:t xml:space="preserve"> et </w:t>
      </w:r>
      <w:proofErr w:type="spellStart"/>
      <w:r>
        <w:rPr>
          <w:rFonts w:ascii="Calibri" w:eastAsia="Times New Roman" w:hAnsi="Calibri" w:cs="Times New Roman"/>
          <w:lang w:val="fr-FR" w:eastAsia="zh-CN"/>
        </w:rPr>
        <w:t>Ombret</w:t>
      </w:r>
      <w:proofErr w:type="spellEnd"/>
      <w:r>
        <w:rPr>
          <w:rFonts w:ascii="Calibri" w:eastAsia="Times New Roman" w:hAnsi="Calibri" w:cs="Times New Roman"/>
          <w:lang w:val="fr-FR" w:eastAsia="zh-CN"/>
        </w:rPr>
        <w:t xml:space="preserve"> (</w:t>
      </w:r>
      <w:r w:rsidRPr="00F979D2">
        <w:rPr>
          <w:rFonts w:ascii="Calibri" w:eastAsia="Times New Roman" w:hAnsi="Calibri" w:cs="Times New Roman"/>
          <w:lang w:val="fr-FR" w:eastAsia="zh-CN"/>
        </w:rPr>
        <w:t>« </w:t>
      </w:r>
      <w:proofErr w:type="spellStart"/>
      <w:r w:rsidRPr="000F14B2">
        <w:rPr>
          <w:rFonts w:ascii="Calibri" w:eastAsia="Times New Roman" w:hAnsi="Calibri" w:cs="Times New Roman"/>
          <w:i/>
          <w:lang w:val="fr-FR" w:eastAsia="zh-CN"/>
        </w:rPr>
        <w:t>Vicus</w:t>
      </w:r>
      <w:proofErr w:type="spellEnd"/>
      <w:r w:rsidRPr="00F979D2">
        <w:rPr>
          <w:rFonts w:ascii="Calibri" w:eastAsia="Times New Roman" w:hAnsi="Calibri" w:cs="Times New Roman"/>
          <w:lang w:val="fr-FR" w:eastAsia="zh-CN"/>
        </w:rPr>
        <w:t xml:space="preserve"> » </w:t>
      </w:r>
      <w:r>
        <w:rPr>
          <w:rFonts w:ascii="Calibri" w:eastAsia="Times New Roman" w:hAnsi="Calibri" w:cs="Times New Roman"/>
          <w:lang w:val="fr-FR" w:eastAsia="zh-CN"/>
        </w:rPr>
        <w:t>et pont d’</w:t>
      </w:r>
      <w:r w:rsidRPr="00F979D2">
        <w:rPr>
          <w:rFonts w:ascii="Calibri" w:eastAsia="Times New Roman" w:hAnsi="Calibri" w:cs="Times New Roman"/>
          <w:lang w:val="fr-FR" w:eastAsia="zh-CN"/>
        </w:rPr>
        <w:t>époque gallo-romaine</w:t>
      </w:r>
      <w:r>
        <w:rPr>
          <w:rFonts w:ascii="Calibri" w:eastAsia="Times New Roman" w:hAnsi="Calibri" w:cs="Times New Roman"/>
          <w:lang w:val="fr-FR" w:eastAsia="zh-CN"/>
        </w:rPr>
        <w:t>), la rue des</w:t>
      </w:r>
      <w:r w:rsidR="00DD0D0C">
        <w:rPr>
          <w:rFonts w:ascii="Calibri" w:eastAsia="Times New Roman" w:hAnsi="Calibri" w:cs="Times New Roman"/>
          <w:lang w:val="fr-FR" w:eastAsia="zh-CN"/>
        </w:rPr>
        <w:t xml:space="preserve"> </w:t>
      </w:r>
      <w:proofErr w:type="spellStart"/>
      <w:r w:rsidR="00DD0D0C">
        <w:rPr>
          <w:rFonts w:ascii="Calibri" w:eastAsia="Times New Roman" w:hAnsi="Calibri" w:cs="Times New Roman"/>
          <w:lang w:val="fr-FR" w:eastAsia="zh-CN"/>
        </w:rPr>
        <w:t>Ganons</w:t>
      </w:r>
      <w:proofErr w:type="spellEnd"/>
      <w:r w:rsidR="00DD0D0C">
        <w:rPr>
          <w:rFonts w:ascii="Calibri" w:eastAsia="Times New Roman" w:hAnsi="Calibri" w:cs="Times New Roman"/>
          <w:lang w:val="fr-FR" w:eastAsia="zh-CN"/>
        </w:rPr>
        <w:t xml:space="preserve"> (cimetière mérovingien)</w:t>
      </w:r>
      <w:r>
        <w:rPr>
          <w:rFonts w:ascii="Calibri" w:eastAsia="Times New Roman" w:hAnsi="Calibri" w:cs="Times New Roman"/>
          <w:lang w:val="fr-FR" w:eastAsia="zh-CN"/>
        </w:rPr>
        <w:t xml:space="preserve"> ...  D’autres pièces proviennent de sites proches comme </w:t>
      </w:r>
      <w:r w:rsidRPr="00C26193">
        <w:rPr>
          <w:rFonts w:ascii="Calibri" w:eastAsia="Times New Roman" w:hAnsi="Calibri" w:cs="Times New Roman"/>
          <w:b/>
          <w:lang w:val="fr-FR" w:eastAsia="zh-CN"/>
        </w:rPr>
        <w:t>Braives</w:t>
      </w:r>
      <w:r>
        <w:rPr>
          <w:rFonts w:ascii="Calibri" w:eastAsia="Times New Roman" w:hAnsi="Calibri" w:cs="Times New Roman"/>
          <w:b/>
          <w:lang w:val="fr-FR" w:eastAsia="zh-CN"/>
        </w:rPr>
        <w:t xml:space="preserve"> </w:t>
      </w:r>
      <w:r w:rsidRPr="003B5738">
        <w:rPr>
          <w:rFonts w:ascii="Calibri" w:eastAsia="Times New Roman" w:hAnsi="Calibri" w:cs="Times New Roman"/>
          <w:lang w:val="fr-FR" w:eastAsia="zh-CN"/>
        </w:rPr>
        <w:t>(</w:t>
      </w:r>
      <w:proofErr w:type="spellStart"/>
      <w:r w:rsidRPr="006056D7">
        <w:rPr>
          <w:rFonts w:ascii="Calibri" w:eastAsia="Times New Roman" w:hAnsi="Calibri" w:cs="Times New Roman"/>
          <w:i/>
          <w:lang w:val="fr-FR" w:eastAsia="zh-CN"/>
        </w:rPr>
        <w:t>vicus</w:t>
      </w:r>
      <w:proofErr w:type="spellEnd"/>
      <w:r w:rsidRPr="003B5738">
        <w:rPr>
          <w:rFonts w:ascii="Calibri" w:eastAsia="Times New Roman" w:hAnsi="Calibri" w:cs="Times New Roman"/>
          <w:lang w:val="fr-FR" w:eastAsia="zh-CN"/>
        </w:rPr>
        <w:t>),</w:t>
      </w:r>
      <w:r w:rsidRPr="00C26193">
        <w:rPr>
          <w:rFonts w:ascii="Calibri" w:eastAsia="Times New Roman" w:hAnsi="Calibri" w:cs="Times New Roman"/>
          <w:b/>
          <w:lang w:val="fr-FR" w:eastAsia="zh-CN"/>
        </w:rPr>
        <w:t xml:space="preserve"> </w:t>
      </w:r>
      <w:proofErr w:type="spellStart"/>
      <w:r w:rsidRPr="00C26193">
        <w:rPr>
          <w:rFonts w:ascii="Calibri" w:eastAsia="Times New Roman" w:hAnsi="Calibri" w:cs="Times New Roman"/>
          <w:b/>
          <w:lang w:val="fr-FR" w:eastAsia="zh-CN"/>
        </w:rPr>
        <w:t>Vervoz</w:t>
      </w:r>
      <w:proofErr w:type="spellEnd"/>
      <w:r>
        <w:rPr>
          <w:rFonts w:ascii="Calibri" w:eastAsia="Times New Roman" w:hAnsi="Calibri" w:cs="Times New Roman"/>
          <w:lang w:val="fr-FR" w:eastAsia="zh-CN"/>
        </w:rPr>
        <w:t xml:space="preserve"> (villa gallo-romaine) ou </w:t>
      </w:r>
      <w:r w:rsidRPr="00C26193">
        <w:rPr>
          <w:rFonts w:ascii="Calibri" w:eastAsia="Times New Roman" w:hAnsi="Calibri" w:cs="Times New Roman"/>
          <w:b/>
          <w:lang w:val="fr-FR" w:eastAsia="zh-CN"/>
        </w:rPr>
        <w:t>Huy</w:t>
      </w:r>
      <w:r>
        <w:rPr>
          <w:rFonts w:ascii="Calibri" w:eastAsia="Times New Roman" w:hAnsi="Calibri" w:cs="Times New Roman"/>
          <w:lang w:val="fr-FR" w:eastAsia="zh-CN"/>
        </w:rPr>
        <w:t xml:space="preserve"> (quai </w:t>
      </w:r>
      <w:proofErr w:type="spellStart"/>
      <w:r>
        <w:rPr>
          <w:rFonts w:ascii="Calibri" w:eastAsia="Times New Roman" w:hAnsi="Calibri" w:cs="Times New Roman"/>
          <w:lang w:val="fr-FR" w:eastAsia="zh-CN"/>
        </w:rPr>
        <w:t>Batta</w:t>
      </w:r>
      <w:proofErr w:type="spellEnd"/>
      <w:r>
        <w:rPr>
          <w:rFonts w:ascii="Calibri" w:eastAsia="Times New Roman" w:hAnsi="Calibri" w:cs="Times New Roman"/>
          <w:lang w:val="fr-FR" w:eastAsia="zh-CN"/>
        </w:rPr>
        <w:t>, rue d</w:t>
      </w:r>
      <w:r w:rsidR="00DD0D0C">
        <w:rPr>
          <w:rFonts w:ascii="Calibri" w:eastAsia="Times New Roman" w:hAnsi="Calibri" w:cs="Times New Roman"/>
          <w:lang w:val="fr-FR" w:eastAsia="zh-CN"/>
        </w:rPr>
        <w:t xml:space="preserve">es Augustins, place St-Jacques </w:t>
      </w:r>
      <w:r>
        <w:rPr>
          <w:rFonts w:ascii="Calibri" w:eastAsia="Times New Roman" w:hAnsi="Calibri" w:cs="Times New Roman"/>
          <w:lang w:val="fr-FR" w:eastAsia="zh-CN"/>
        </w:rPr>
        <w:t xml:space="preserve">…). Elles complètent ainsi le panorama de la civilisation gallo-romaine et mérovingienne. </w:t>
      </w:r>
    </w:p>
    <w:p w:rsidR="000A1A5F" w:rsidRPr="00B567FD" w:rsidRDefault="000A1A5F" w:rsidP="000A1A5F">
      <w:pPr>
        <w:ind w:left="1416"/>
        <w:jc w:val="both"/>
      </w:pPr>
    </w:p>
    <w:p w:rsidR="000A1A5F" w:rsidRDefault="000A1A5F" w:rsidP="000A1A5F"/>
    <w:sectPr w:rsidR="000A1A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A5F"/>
    <w:rsid w:val="000A1A5F"/>
    <w:rsid w:val="00241583"/>
    <w:rsid w:val="00844211"/>
    <w:rsid w:val="00B45121"/>
    <w:rsid w:val="00DD0D0C"/>
    <w:rsid w:val="00DE06E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A5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A5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16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640</Words>
  <Characters>3525</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Province de Namur</Company>
  <LinksUpToDate>false</LinksUpToDate>
  <CharactersWithSpaces>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laurence.ancion@province.namur.be anl</dc:creator>
  <cp:lastModifiedBy>Utilisateur Windows</cp:lastModifiedBy>
  <cp:revision>4</cp:revision>
  <dcterms:created xsi:type="dcterms:W3CDTF">2024-08-30T17:09:00Z</dcterms:created>
  <dcterms:modified xsi:type="dcterms:W3CDTF">2024-08-30T17:14:00Z</dcterms:modified>
</cp:coreProperties>
</file>